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A4E80" w14:textId="2B93381C" w:rsidR="00ED066E" w:rsidRDefault="004D2665">
      <w:pPr>
        <w:rPr>
          <w:b/>
          <w:bCs/>
          <w:color w:val="ED7D31" w:themeColor="accent2"/>
        </w:rPr>
      </w:pPr>
      <w:r>
        <w:rPr>
          <w:b/>
          <w:bCs/>
          <w:noProof/>
          <w:color w:val="ED7D31" w:themeColor="accent2"/>
        </w:rPr>
        <w:drawing>
          <wp:anchor distT="0" distB="0" distL="114300" distR="114300" simplePos="0" relativeHeight="251658240" behindDoc="0" locked="0" layoutInCell="1" allowOverlap="1" wp14:anchorId="4A05A584" wp14:editId="5A52B07A">
            <wp:simplePos x="0" y="0"/>
            <wp:positionH relativeFrom="margin">
              <wp:posOffset>5039448</wp:posOffset>
            </wp:positionH>
            <wp:positionV relativeFrom="paragraph">
              <wp:posOffset>-706101</wp:posOffset>
            </wp:positionV>
            <wp:extent cx="1013920" cy="810828"/>
            <wp:effectExtent l="0" t="0" r="0" b="889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3920" cy="810828"/>
                    </a:xfrm>
                    <a:prstGeom prst="rect">
                      <a:avLst/>
                    </a:prstGeom>
                  </pic:spPr>
                </pic:pic>
              </a:graphicData>
            </a:graphic>
            <wp14:sizeRelH relativeFrom="margin">
              <wp14:pctWidth>0</wp14:pctWidth>
            </wp14:sizeRelH>
            <wp14:sizeRelV relativeFrom="margin">
              <wp14:pctHeight>0</wp14:pctHeight>
            </wp14:sizeRelV>
          </wp:anchor>
        </w:drawing>
      </w:r>
      <w:r w:rsidR="00ED066E">
        <w:rPr>
          <w:b/>
          <w:bCs/>
          <w:color w:val="ED7D31" w:themeColor="accent2"/>
        </w:rPr>
        <w:t xml:space="preserve">Kearsley’s Training </w:t>
      </w:r>
      <w:r w:rsidR="00640C07" w:rsidRPr="004D2665">
        <w:rPr>
          <w:b/>
          <w:bCs/>
          <w:color w:val="ED7D31" w:themeColor="accent2"/>
        </w:rPr>
        <w:t xml:space="preserve">Terms and Conditions </w:t>
      </w:r>
    </w:p>
    <w:p w14:paraId="3E32AAFE" w14:textId="57862030" w:rsidR="004D2665" w:rsidRPr="00EE0A5B" w:rsidRDefault="00D63C4F">
      <w:pPr>
        <w:rPr>
          <w:b/>
          <w:bCs/>
          <w:i/>
          <w:iCs/>
        </w:rPr>
      </w:pPr>
      <w:r>
        <w:rPr>
          <w:b/>
          <w:bCs/>
          <w:i/>
          <w:iCs/>
        </w:rPr>
        <w:t xml:space="preserve">Please read </w:t>
      </w:r>
      <w:r>
        <w:rPr>
          <w:b/>
          <w:bCs/>
          <w:i/>
          <w:iCs/>
          <w:u w:val="single"/>
        </w:rPr>
        <w:t>Kearsley’s Training</w:t>
      </w:r>
      <w:r>
        <w:rPr>
          <w:b/>
          <w:bCs/>
          <w:i/>
          <w:iCs/>
        </w:rPr>
        <w:t xml:space="preserve"> Terms &amp; Conditions. By using this Website, you are agreeing to the Terms &amp; Conditions listed below. </w:t>
      </w:r>
    </w:p>
    <w:p w14:paraId="388B1118" w14:textId="7D300BAF" w:rsidR="00FA72F5" w:rsidRDefault="00640C07" w:rsidP="00ED066E">
      <w:pPr>
        <w:pStyle w:val="ListParagraph"/>
        <w:numPr>
          <w:ilvl w:val="0"/>
          <w:numId w:val="3"/>
        </w:numPr>
        <w:spacing w:line="360" w:lineRule="auto"/>
        <w:jc w:val="both"/>
      </w:pPr>
      <w:r>
        <w:t xml:space="preserve">Course participants must arrive 15 minutes prior to course commencement if they wish to sit the course. This will allow sufficient time for </w:t>
      </w:r>
      <w:r w:rsidR="006B6BD5">
        <w:t>enrolment</w:t>
      </w:r>
      <w:r>
        <w:t xml:space="preserve"> </w:t>
      </w:r>
      <w:r w:rsidR="006B6BD5">
        <w:t xml:space="preserve">paperwork to be completed. Late arrival may result in the course being unable to be completed. </w:t>
      </w:r>
      <w:r w:rsidR="00FA72F5">
        <w:t xml:space="preserve">If participants are </w:t>
      </w:r>
      <w:r w:rsidR="00504434">
        <w:t>going to be</w:t>
      </w:r>
      <w:r w:rsidR="00ED066E">
        <w:t xml:space="preserve"> late</w:t>
      </w:r>
      <w:r w:rsidR="00FA72F5">
        <w:t xml:space="preserve">, they </w:t>
      </w:r>
      <w:r w:rsidR="00504434">
        <w:t>must</w:t>
      </w:r>
      <w:r w:rsidR="00FA72F5">
        <w:t xml:space="preserve"> call and not</w:t>
      </w:r>
      <w:r w:rsidR="00504434">
        <w:t>ify</w:t>
      </w:r>
      <w:r w:rsidR="00FA72F5">
        <w:t xml:space="preserve"> staff </w:t>
      </w:r>
      <w:r w:rsidR="00ED066E">
        <w:t>in case of</w:t>
      </w:r>
      <w:r w:rsidR="00504434">
        <w:t xml:space="preserve"> </w:t>
      </w:r>
      <w:r w:rsidR="00FA72F5">
        <w:t xml:space="preserve">additional requirements </w:t>
      </w:r>
      <w:r w:rsidR="00ED066E">
        <w:t>of</w:t>
      </w:r>
      <w:r w:rsidR="00FA72F5">
        <w:t xml:space="preserve"> course commencement.</w:t>
      </w:r>
    </w:p>
    <w:p w14:paraId="69719105" w14:textId="373D2A64" w:rsidR="006B6BD5" w:rsidRDefault="006B6BD5" w:rsidP="00ED066E">
      <w:pPr>
        <w:pStyle w:val="ListParagraph"/>
        <w:numPr>
          <w:ilvl w:val="0"/>
          <w:numId w:val="3"/>
        </w:numPr>
        <w:spacing w:line="360" w:lineRule="auto"/>
        <w:jc w:val="both"/>
      </w:pPr>
      <w:r>
        <w:t xml:space="preserve">Proof of identity will be required prior to course commencement. If </w:t>
      </w:r>
      <w:r w:rsidR="00504434">
        <w:t xml:space="preserve">the participant is </w:t>
      </w:r>
      <w:r w:rsidR="00A31564">
        <w:t>completing</w:t>
      </w:r>
      <w:r>
        <w:t xml:space="preserve"> a </w:t>
      </w:r>
      <w:r w:rsidR="00A31564">
        <w:t>H</w:t>
      </w:r>
      <w:r>
        <w:t>igh-</w:t>
      </w:r>
      <w:r w:rsidR="00A31564">
        <w:t>R</w:t>
      </w:r>
      <w:r>
        <w:t xml:space="preserve">isk </w:t>
      </w:r>
      <w:r w:rsidR="00A31564">
        <w:t>W</w:t>
      </w:r>
      <w:r>
        <w:t>ork Licence</w:t>
      </w:r>
      <w:r w:rsidR="00BE5F79">
        <w:t xml:space="preserve"> or </w:t>
      </w:r>
      <w:r w:rsidR="00512870">
        <w:t>‘</w:t>
      </w:r>
      <w:r w:rsidR="00512870" w:rsidRPr="00512870">
        <w:t>Prepare to Work Safely in the Construction Industry</w:t>
      </w:r>
      <w:r w:rsidR="00512870">
        <w:t>’</w:t>
      </w:r>
      <w:r>
        <w:t xml:space="preserve">, 100 points of identification will be required. A list of appropriate ID can be found </w:t>
      </w:r>
      <w:hyperlink r:id="rId8" w:history="1">
        <w:r w:rsidRPr="006B6BD5">
          <w:rPr>
            <w:rStyle w:val="Hyperlink"/>
          </w:rPr>
          <w:t>here</w:t>
        </w:r>
      </w:hyperlink>
      <w:r>
        <w:t>.</w:t>
      </w:r>
    </w:p>
    <w:p w14:paraId="2EAF7AF4" w14:textId="0D5C9F30" w:rsidR="00FD69D0" w:rsidRDefault="006B6BD5" w:rsidP="00ED066E">
      <w:pPr>
        <w:pStyle w:val="ListParagraph"/>
        <w:numPr>
          <w:ilvl w:val="0"/>
          <w:numId w:val="3"/>
        </w:numPr>
        <w:spacing w:line="360" w:lineRule="auto"/>
        <w:jc w:val="both"/>
      </w:pPr>
      <w:r>
        <w:t xml:space="preserve">Learners will be required to demonstrate competency for each learning outcome of the course. Kearsley’s Training is not liable to any participants for the outcomes of any competency or </w:t>
      </w:r>
      <w:r w:rsidR="00954E79">
        <w:t>assessment</w:t>
      </w:r>
      <w:r>
        <w:t xml:space="preserve"> result. </w:t>
      </w:r>
      <w:r w:rsidR="00FD69D0">
        <w:t>It is expected that all participants attend every day of training required.</w:t>
      </w:r>
    </w:p>
    <w:p w14:paraId="6E5E452E" w14:textId="616461EA" w:rsidR="00B470B3" w:rsidRDefault="00B470B3" w:rsidP="00ED066E">
      <w:pPr>
        <w:pStyle w:val="ListParagraph"/>
        <w:numPr>
          <w:ilvl w:val="0"/>
          <w:numId w:val="3"/>
        </w:numPr>
        <w:spacing w:line="360" w:lineRule="auto"/>
        <w:jc w:val="both"/>
      </w:pPr>
      <w:r>
        <w:t>Kearsley’s Training respects every learner’s right to privacy and will use the appropriate means in the collection, storage, and usage of personal information.</w:t>
      </w:r>
    </w:p>
    <w:p w14:paraId="5E6F495C" w14:textId="409014DF" w:rsidR="00B470B3" w:rsidRDefault="00FE44E5" w:rsidP="00ED066E">
      <w:pPr>
        <w:pStyle w:val="ListParagraph"/>
        <w:numPr>
          <w:ilvl w:val="0"/>
          <w:numId w:val="3"/>
        </w:numPr>
        <w:spacing w:line="360" w:lineRule="auto"/>
        <w:jc w:val="both"/>
      </w:pPr>
      <w:r>
        <w:t>Kearsley’s</w:t>
      </w:r>
      <w:r w:rsidR="00B470B3">
        <w:t xml:space="preserve"> Training is committed to providing a safe learning environment to students and employees. Any work, health and safety concerns should be reported so they can be addressed as soon as possible.</w:t>
      </w:r>
    </w:p>
    <w:p w14:paraId="594082F1" w14:textId="19A2F2F3" w:rsidR="00B470B3" w:rsidRDefault="00133265" w:rsidP="00ED066E">
      <w:pPr>
        <w:pStyle w:val="ListParagraph"/>
        <w:numPr>
          <w:ilvl w:val="0"/>
          <w:numId w:val="3"/>
        </w:numPr>
        <w:spacing w:line="360" w:lineRule="auto"/>
        <w:jc w:val="both"/>
      </w:pPr>
      <w:r>
        <w:t>In the event of the student being unsuccessful</w:t>
      </w:r>
      <w:r w:rsidR="00A24A33">
        <w:t xml:space="preserve">, and deemed not yet competent, they will be able to attempt a re-sit. If the student is still deemed not yet competent by the second attempt, </w:t>
      </w:r>
      <w:r w:rsidR="00EE0A5B">
        <w:t xml:space="preserve">they may undertake additional training at the </w:t>
      </w:r>
      <w:proofErr w:type="gramStart"/>
      <w:r w:rsidR="00EE0A5B">
        <w:t>students</w:t>
      </w:r>
      <w:proofErr w:type="gramEnd"/>
      <w:r w:rsidR="00EE0A5B">
        <w:t xml:space="preserve"> expense. </w:t>
      </w:r>
    </w:p>
    <w:p w14:paraId="413441BC" w14:textId="727D80FB" w:rsidR="00B470B3" w:rsidRDefault="00D63C4F" w:rsidP="00ED066E">
      <w:pPr>
        <w:pStyle w:val="ListParagraph"/>
        <w:numPr>
          <w:ilvl w:val="0"/>
          <w:numId w:val="3"/>
        </w:numPr>
        <w:spacing w:line="360" w:lineRule="auto"/>
        <w:jc w:val="both"/>
      </w:pPr>
      <w:r>
        <w:t xml:space="preserve">Payment is to be made </w:t>
      </w:r>
      <w:r w:rsidRPr="00954E79">
        <w:rPr>
          <w:b/>
          <w:bCs/>
        </w:rPr>
        <w:t>IN FULL</w:t>
      </w:r>
      <w:r w:rsidR="00783E2E">
        <w:t xml:space="preserve"> prior to t</w:t>
      </w:r>
      <w:r w:rsidR="004C29A1">
        <w:t>he</w:t>
      </w:r>
      <w:r>
        <w:t xml:space="preserve"> commencement of any course.</w:t>
      </w:r>
    </w:p>
    <w:p w14:paraId="1ADA6E55" w14:textId="271F5BBA" w:rsidR="00B470B3" w:rsidRDefault="00D63C4F" w:rsidP="00ED066E">
      <w:pPr>
        <w:pStyle w:val="ListParagraph"/>
        <w:numPr>
          <w:ilvl w:val="0"/>
          <w:numId w:val="3"/>
        </w:numPr>
        <w:spacing w:line="360" w:lineRule="auto"/>
        <w:jc w:val="both"/>
      </w:pPr>
      <w:r>
        <w:t>If a participant cannot attend</w:t>
      </w:r>
      <w:r w:rsidR="00783E2E">
        <w:t xml:space="preserve"> or wishes to cancel a course, a </w:t>
      </w:r>
      <w:r w:rsidR="00954E79">
        <w:t>100</w:t>
      </w:r>
      <w:r w:rsidR="00783E2E">
        <w:t>% refund will be given</w:t>
      </w:r>
      <w:r w:rsidR="00954E79">
        <w:t xml:space="preserve">, if more than 5 business days’ notice is given. </w:t>
      </w:r>
      <w:r w:rsidR="000F5FB1">
        <w:t>However, administration fees may apply.</w:t>
      </w:r>
    </w:p>
    <w:p w14:paraId="3466E0A1" w14:textId="6123A476" w:rsidR="00954E79" w:rsidRDefault="00954E79" w:rsidP="00ED066E">
      <w:pPr>
        <w:pStyle w:val="ListParagraph"/>
        <w:numPr>
          <w:ilvl w:val="0"/>
          <w:numId w:val="3"/>
        </w:numPr>
        <w:spacing w:line="360" w:lineRule="auto"/>
        <w:jc w:val="both"/>
      </w:pPr>
      <w:r>
        <w:t>If a participant cannot attend or wishes to cancel a course, a 50% refund will be given, if 2 to 5 business days’ notice is given.</w:t>
      </w:r>
    </w:p>
    <w:p w14:paraId="28AAF4D2" w14:textId="5DF236B1" w:rsidR="00B470B3" w:rsidRDefault="00B470B3" w:rsidP="00ED066E">
      <w:pPr>
        <w:pStyle w:val="ListParagraph"/>
        <w:numPr>
          <w:ilvl w:val="0"/>
          <w:numId w:val="3"/>
        </w:numPr>
        <w:spacing w:line="360" w:lineRule="auto"/>
        <w:jc w:val="both"/>
      </w:pPr>
      <w:r>
        <w:t>If a participant does not show up</w:t>
      </w:r>
      <w:r w:rsidR="00E776E7">
        <w:t xml:space="preserve"> to a course, or cancels with less than 48 </w:t>
      </w:r>
      <w:r w:rsidR="00954E79">
        <w:t>hours’</w:t>
      </w:r>
      <w:r w:rsidR="00E776E7">
        <w:t xml:space="preserve"> notice, no refund will be given</w:t>
      </w:r>
      <w:r w:rsidR="0025394A">
        <w:t>. However, a participant can re-schedule a course (administration charges may apply).</w:t>
      </w:r>
    </w:p>
    <w:p w14:paraId="17A32F41" w14:textId="53CA1272" w:rsidR="00E776E7" w:rsidRDefault="00E776E7" w:rsidP="00ED066E">
      <w:pPr>
        <w:pStyle w:val="ListParagraph"/>
        <w:numPr>
          <w:ilvl w:val="0"/>
          <w:numId w:val="3"/>
        </w:numPr>
        <w:spacing w:line="360" w:lineRule="auto"/>
        <w:jc w:val="both"/>
      </w:pPr>
      <w:r>
        <w:t>If a refund is required, Kearsley’s Training will provide this within 30 days of course cancellation.</w:t>
      </w:r>
    </w:p>
    <w:p w14:paraId="0ACEF08F" w14:textId="0A328399" w:rsidR="00E776E7" w:rsidRDefault="00E776E7" w:rsidP="00ED066E">
      <w:pPr>
        <w:pStyle w:val="ListParagraph"/>
        <w:numPr>
          <w:ilvl w:val="0"/>
          <w:numId w:val="3"/>
        </w:numPr>
        <w:spacing w:line="360" w:lineRule="auto"/>
        <w:jc w:val="both"/>
      </w:pPr>
      <w:r>
        <w:t xml:space="preserve">Courses with low numbers may be rescheduled or cancelled by Kearsley’s Training. Kearsley’s Training is not liable for any course reschedules or cancellations, except to refund the course if it was changed </w:t>
      </w:r>
      <w:r w:rsidR="008E550E">
        <w:t xml:space="preserve">or cancelled </w:t>
      </w:r>
      <w:r>
        <w:t>on our part.</w:t>
      </w:r>
    </w:p>
    <w:p w14:paraId="0E91A010" w14:textId="77777777" w:rsidR="00ED066E" w:rsidRDefault="00E776E7" w:rsidP="00A06209">
      <w:pPr>
        <w:pStyle w:val="ListParagraph"/>
        <w:numPr>
          <w:ilvl w:val="0"/>
          <w:numId w:val="3"/>
        </w:numPr>
        <w:spacing w:line="360" w:lineRule="auto"/>
        <w:jc w:val="both"/>
      </w:pPr>
      <w:r>
        <w:t>If a course is rescheduled, participants have the right to a full course refund if they cannot attend the new course date.</w:t>
      </w:r>
    </w:p>
    <w:p w14:paraId="63A8868B" w14:textId="4711BD22" w:rsidR="00ED080C" w:rsidRPr="00640C07" w:rsidRDefault="00ED080C" w:rsidP="00A06209">
      <w:pPr>
        <w:pStyle w:val="ListParagraph"/>
        <w:numPr>
          <w:ilvl w:val="0"/>
          <w:numId w:val="3"/>
        </w:numPr>
        <w:spacing w:line="360" w:lineRule="auto"/>
        <w:jc w:val="both"/>
      </w:pPr>
      <w:r>
        <w:t>All participants must wear appropriate personal protective equipment to their training, including enclosed shoes/ boots.</w:t>
      </w:r>
    </w:p>
    <w:sectPr w:rsidR="00ED080C" w:rsidRPr="00640C07" w:rsidSect="00ED066E">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DDBDF" w14:textId="77777777" w:rsidR="00ED066E" w:rsidRDefault="00ED066E" w:rsidP="00ED066E">
      <w:pPr>
        <w:spacing w:after="0" w:line="240" w:lineRule="auto"/>
      </w:pPr>
      <w:r>
        <w:separator/>
      </w:r>
    </w:p>
  </w:endnote>
  <w:endnote w:type="continuationSeparator" w:id="0">
    <w:p w14:paraId="7B5746FD" w14:textId="77777777" w:rsidR="00ED066E" w:rsidRDefault="00ED066E" w:rsidP="00ED0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651BD" w14:textId="77777777" w:rsidR="00ED066E" w:rsidRDefault="00ED066E" w:rsidP="00ED066E">
      <w:pPr>
        <w:spacing w:after="0" w:line="240" w:lineRule="auto"/>
      </w:pPr>
      <w:r>
        <w:separator/>
      </w:r>
    </w:p>
  </w:footnote>
  <w:footnote w:type="continuationSeparator" w:id="0">
    <w:p w14:paraId="46616C72" w14:textId="77777777" w:rsidR="00ED066E" w:rsidRDefault="00ED066E" w:rsidP="00ED06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F0306"/>
    <w:multiLevelType w:val="multilevel"/>
    <w:tmpl w:val="5388E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6B6B8D"/>
    <w:multiLevelType w:val="multilevel"/>
    <w:tmpl w:val="A28EC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8E1085"/>
    <w:multiLevelType w:val="hybridMultilevel"/>
    <w:tmpl w:val="EEA49976"/>
    <w:lvl w:ilvl="0" w:tplc="44B437C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A9860C0"/>
    <w:multiLevelType w:val="multilevel"/>
    <w:tmpl w:val="DA826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4065ED"/>
    <w:multiLevelType w:val="hybridMultilevel"/>
    <w:tmpl w:val="5C246086"/>
    <w:lvl w:ilvl="0" w:tplc="CC021C8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D577A3E"/>
    <w:multiLevelType w:val="hybridMultilevel"/>
    <w:tmpl w:val="2B8ABA66"/>
    <w:lvl w:ilvl="0" w:tplc="B524AEB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43C7384"/>
    <w:multiLevelType w:val="hybridMultilevel"/>
    <w:tmpl w:val="D24E7BEE"/>
    <w:lvl w:ilvl="0" w:tplc="A14A1A1A">
      <w:start w:val="1"/>
      <w:numFmt w:val="decimal"/>
      <w:lvlText w:val="%1."/>
      <w:lvlJc w:val="left"/>
      <w:pPr>
        <w:ind w:left="360" w:hanging="360"/>
      </w:pPr>
      <w:rPr>
        <w:rFonts w:hint="default"/>
      </w:rPr>
    </w:lvl>
    <w:lvl w:ilvl="1" w:tplc="0C090019" w:tentative="1">
      <w:start w:val="1"/>
      <w:numFmt w:val="lowerLetter"/>
      <w:lvlText w:val="%2."/>
      <w:lvlJc w:val="left"/>
      <w:pPr>
        <w:ind w:left="1299" w:hanging="360"/>
      </w:pPr>
    </w:lvl>
    <w:lvl w:ilvl="2" w:tplc="0C09001B" w:tentative="1">
      <w:start w:val="1"/>
      <w:numFmt w:val="lowerRoman"/>
      <w:lvlText w:val="%3."/>
      <w:lvlJc w:val="right"/>
      <w:pPr>
        <w:ind w:left="2019" w:hanging="180"/>
      </w:pPr>
    </w:lvl>
    <w:lvl w:ilvl="3" w:tplc="0C09000F" w:tentative="1">
      <w:start w:val="1"/>
      <w:numFmt w:val="decimal"/>
      <w:lvlText w:val="%4."/>
      <w:lvlJc w:val="left"/>
      <w:pPr>
        <w:ind w:left="2739" w:hanging="360"/>
      </w:pPr>
    </w:lvl>
    <w:lvl w:ilvl="4" w:tplc="0C090019" w:tentative="1">
      <w:start w:val="1"/>
      <w:numFmt w:val="lowerLetter"/>
      <w:lvlText w:val="%5."/>
      <w:lvlJc w:val="left"/>
      <w:pPr>
        <w:ind w:left="3459" w:hanging="360"/>
      </w:pPr>
    </w:lvl>
    <w:lvl w:ilvl="5" w:tplc="0C09001B" w:tentative="1">
      <w:start w:val="1"/>
      <w:numFmt w:val="lowerRoman"/>
      <w:lvlText w:val="%6."/>
      <w:lvlJc w:val="right"/>
      <w:pPr>
        <w:ind w:left="4179" w:hanging="180"/>
      </w:pPr>
    </w:lvl>
    <w:lvl w:ilvl="6" w:tplc="0C09000F" w:tentative="1">
      <w:start w:val="1"/>
      <w:numFmt w:val="decimal"/>
      <w:lvlText w:val="%7."/>
      <w:lvlJc w:val="left"/>
      <w:pPr>
        <w:ind w:left="4899" w:hanging="360"/>
      </w:pPr>
    </w:lvl>
    <w:lvl w:ilvl="7" w:tplc="0C090019" w:tentative="1">
      <w:start w:val="1"/>
      <w:numFmt w:val="lowerLetter"/>
      <w:lvlText w:val="%8."/>
      <w:lvlJc w:val="left"/>
      <w:pPr>
        <w:ind w:left="5619" w:hanging="360"/>
      </w:pPr>
    </w:lvl>
    <w:lvl w:ilvl="8" w:tplc="0C09001B" w:tentative="1">
      <w:start w:val="1"/>
      <w:numFmt w:val="lowerRoman"/>
      <w:lvlText w:val="%9."/>
      <w:lvlJc w:val="right"/>
      <w:pPr>
        <w:ind w:left="6339" w:hanging="180"/>
      </w:pPr>
    </w:lvl>
  </w:abstractNum>
  <w:num w:numId="1" w16cid:durableId="451821934">
    <w:abstractNumId w:val="5"/>
  </w:num>
  <w:num w:numId="2" w16cid:durableId="129829565">
    <w:abstractNumId w:val="0"/>
  </w:num>
  <w:num w:numId="3" w16cid:durableId="444924993">
    <w:abstractNumId w:val="6"/>
  </w:num>
  <w:num w:numId="4" w16cid:durableId="56781923">
    <w:abstractNumId w:val="4"/>
  </w:num>
  <w:num w:numId="5" w16cid:durableId="614287101">
    <w:abstractNumId w:val="2"/>
  </w:num>
  <w:num w:numId="6" w16cid:durableId="839002064">
    <w:abstractNumId w:val="3"/>
  </w:num>
  <w:num w:numId="7" w16cid:durableId="635993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C07"/>
    <w:rsid w:val="000F5FB1"/>
    <w:rsid w:val="00133265"/>
    <w:rsid w:val="0025394A"/>
    <w:rsid w:val="004C29A1"/>
    <w:rsid w:val="004D2665"/>
    <w:rsid w:val="00504434"/>
    <w:rsid w:val="00512870"/>
    <w:rsid w:val="00640C07"/>
    <w:rsid w:val="006B6BD5"/>
    <w:rsid w:val="00783E2E"/>
    <w:rsid w:val="008E550E"/>
    <w:rsid w:val="00954E79"/>
    <w:rsid w:val="009E6FBD"/>
    <w:rsid w:val="00A24A33"/>
    <w:rsid w:val="00A31564"/>
    <w:rsid w:val="00A96ECA"/>
    <w:rsid w:val="00B470B3"/>
    <w:rsid w:val="00BC2372"/>
    <w:rsid w:val="00BE5F79"/>
    <w:rsid w:val="00D63C4F"/>
    <w:rsid w:val="00E776E7"/>
    <w:rsid w:val="00ED066E"/>
    <w:rsid w:val="00ED080C"/>
    <w:rsid w:val="00EE0A5B"/>
    <w:rsid w:val="00FA72F5"/>
    <w:rsid w:val="00FD69D0"/>
    <w:rsid w:val="00FE44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79CFB"/>
  <w15:chartTrackingRefBased/>
  <w15:docId w15:val="{2EDD143B-2E93-4AE5-8FF2-1B74E3E22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C07"/>
    <w:pPr>
      <w:ind w:left="720"/>
      <w:contextualSpacing/>
    </w:pPr>
  </w:style>
  <w:style w:type="character" w:styleId="Hyperlink">
    <w:name w:val="Hyperlink"/>
    <w:basedOn w:val="DefaultParagraphFont"/>
    <w:uiPriority w:val="99"/>
    <w:unhideWhenUsed/>
    <w:rsid w:val="006B6BD5"/>
    <w:rPr>
      <w:color w:val="0563C1" w:themeColor="hyperlink"/>
      <w:u w:val="single"/>
    </w:rPr>
  </w:style>
  <w:style w:type="character" w:styleId="UnresolvedMention">
    <w:name w:val="Unresolved Mention"/>
    <w:basedOn w:val="DefaultParagraphFont"/>
    <w:uiPriority w:val="99"/>
    <w:semiHidden/>
    <w:unhideWhenUsed/>
    <w:rsid w:val="006B6BD5"/>
    <w:rPr>
      <w:color w:val="605E5C"/>
      <w:shd w:val="clear" w:color="auto" w:fill="E1DFDD"/>
    </w:rPr>
  </w:style>
  <w:style w:type="paragraph" w:styleId="Header">
    <w:name w:val="header"/>
    <w:basedOn w:val="Normal"/>
    <w:link w:val="HeaderChar"/>
    <w:uiPriority w:val="99"/>
    <w:unhideWhenUsed/>
    <w:rsid w:val="00ED06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66E"/>
  </w:style>
  <w:style w:type="paragraph" w:styleId="Footer">
    <w:name w:val="footer"/>
    <w:basedOn w:val="Normal"/>
    <w:link w:val="FooterChar"/>
    <w:uiPriority w:val="99"/>
    <w:unhideWhenUsed/>
    <w:rsid w:val="00ED06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845734">
      <w:bodyDiv w:val="1"/>
      <w:marLeft w:val="0"/>
      <w:marRight w:val="0"/>
      <w:marTop w:val="0"/>
      <w:marBottom w:val="0"/>
      <w:divBdr>
        <w:top w:val="none" w:sz="0" w:space="0" w:color="auto"/>
        <w:left w:val="none" w:sz="0" w:space="0" w:color="auto"/>
        <w:bottom w:val="none" w:sz="0" w:space="0" w:color="auto"/>
        <w:right w:val="none" w:sz="0" w:space="0" w:color="auto"/>
      </w:divBdr>
    </w:div>
    <w:div w:id="671685556">
      <w:bodyDiv w:val="1"/>
      <w:marLeft w:val="0"/>
      <w:marRight w:val="0"/>
      <w:marTop w:val="0"/>
      <w:marBottom w:val="0"/>
      <w:divBdr>
        <w:top w:val="none" w:sz="0" w:space="0" w:color="auto"/>
        <w:left w:val="none" w:sz="0" w:space="0" w:color="auto"/>
        <w:bottom w:val="none" w:sz="0" w:space="0" w:color="auto"/>
        <w:right w:val="none" w:sz="0" w:space="0" w:color="auto"/>
      </w:divBdr>
    </w:div>
    <w:div w:id="1098983341">
      <w:bodyDiv w:val="1"/>
      <w:marLeft w:val="0"/>
      <w:marRight w:val="0"/>
      <w:marTop w:val="0"/>
      <w:marBottom w:val="0"/>
      <w:divBdr>
        <w:top w:val="none" w:sz="0" w:space="0" w:color="auto"/>
        <w:left w:val="none" w:sz="0" w:space="0" w:color="auto"/>
        <w:bottom w:val="none" w:sz="0" w:space="0" w:color="auto"/>
        <w:right w:val="none" w:sz="0" w:space="0" w:color="auto"/>
      </w:divBdr>
    </w:div>
    <w:div w:id="1858889857">
      <w:bodyDiv w:val="1"/>
      <w:marLeft w:val="0"/>
      <w:marRight w:val="0"/>
      <w:marTop w:val="0"/>
      <w:marBottom w:val="0"/>
      <w:divBdr>
        <w:top w:val="none" w:sz="0" w:space="0" w:color="auto"/>
        <w:left w:val="none" w:sz="0" w:space="0" w:color="auto"/>
        <w:bottom w:val="none" w:sz="0" w:space="0" w:color="auto"/>
        <w:right w:val="none" w:sz="0" w:space="0" w:color="auto"/>
      </w:divBdr>
      <w:divsChild>
        <w:div w:id="2100248085">
          <w:marLeft w:val="0"/>
          <w:marRight w:val="0"/>
          <w:marTop w:val="0"/>
          <w:marBottom w:val="0"/>
          <w:divBdr>
            <w:top w:val="none" w:sz="0" w:space="0" w:color="auto"/>
            <w:left w:val="none" w:sz="0" w:space="0" w:color="auto"/>
            <w:bottom w:val="none" w:sz="0" w:space="0" w:color="auto"/>
            <w:right w:val="none" w:sz="0" w:space="0" w:color="auto"/>
          </w:divBdr>
          <w:divsChild>
            <w:div w:id="1976179187">
              <w:marLeft w:val="0"/>
              <w:marRight w:val="0"/>
              <w:marTop w:val="0"/>
              <w:marBottom w:val="0"/>
              <w:divBdr>
                <w:top w:val="none" w:sz="0" w:space="0" w:color="auto"/>
                <w:left w:val="none" w:sz="0" w:space="0" w:color="auto"/>
                <w:bottom w:val="none" w:sz="0" w:space="0" w:color="auto"/>
                <w:right w:val="none" w:sz="0" w:space="0" w:color="auto"/>
              </w:divBdr>
              <w:divsChild>
                <w:div w:id="504444878">
                  <w:marLeft w:val="180"/>
                  <w:marRight w:val="0"/>
                  <w:marTop w:val="0"/>
                  <w:marBottom w:val="0"/>
                  <w:divBdr>
                    <w:top w:val="none" w:sz="0" w:space="0" w:color="auto"/>
                    <w:left w:val="none" w:sz="0" w:space="0" w:color="auto"/>
                    <w:bottom w:val="none" w:sz="0" w:space="0" w:color="auto"/>
                    <w:right w:val="none" w:sz="0" w:space="0" w:color="auto"/>
                  </w:divBdr>
                  <w:divsChild>
                    <w:div w:id="145825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work.nsw.gov.au/__data/assets/pdf_file/0005/51836/SW08446-0718-423971.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Neiberding, Claudia</dc:creator>
  <cp:keywords/>
  <dc:description/>
  <cp:lastModifiedBy>Neiberding, Claudia</cp:lastModifiedBy>
  <cp:revision>2</cp:revision>
  <dcterms:created xsi:type="dcterms:W3CDTF">2022-06-23T07:35:00Z</dcterms:created>
  <dcterms:modified xsi:type="dcterms:W3CDTF">2022-06-23T07:35:00Z</dcterms:modified>
</cp:coreProperties>
</file>